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323" w:rsidRPr="00CE14E8" w:rsidRDefault="00446506" w:rsidP="00520323">
      <w:pPr>
        <w:jc w:val="center"/>
        <w:rPr>
          <w:rFonts w:ascii="Calibri" w:hAnsi="Calibri"/>
          <w:b/>
          <w:sz w:val="24"/>
        </w:rPr>
      </w:pPr>
      <w:r w:rsidRPr="00CE14E8">
        <w:rPr>
          <w:rFonts w:ascii="Calibri" w:hAnsi="Calibri"/>
          <w:b/>
          <w:sz w:val="24"/>
        </w:rPr>
        <w:t>NANO-CATALYTIC DIRECT HYDROGENATION OF HETEROARENES</w:t>
      </w:r>
    </w:p>
    <w:p w:rsidR="00204D44" w:rsidRPr="00520323" w:rsidRDefault="00204D44" w:rsidP="00204D44">
      <w:pPr>
        <w:spacing w:after="0"/>
        <w:jc w:val="both"/>
        <w:rPr>
          <w:rFonts w:ascii="Calibri" w:hAnsi="Calibri"/>
          <w:b/>
          <w:i/>
          <w:sz w:val="18"/>
        </w:rPr>
      </w:pPr>
      <w:r w:rsidRPr="00520323">
        <w:rPr>
          <w:rFonts w:ascii="Calibri" w:hAnsi="Calibri"/>
          <w:b/>
          <w:i/>
          <w:sz w:val="18"/>
        </w:rPr>
        <w:t>Introduction:</w:t>
      </w:r>
    </w:p>
    <w:p w:rsidR="00204D44" w:rsidRDefault="00204D44" w:rsidP="00520323">
      <w:pPr>
        <w:spacing w:after="0"/>
        <w:jc w:val="both"/>
        <w:rPr>
          <w:rFonts w:ascii="Calibri" w:hAnsi="Calibri"/>
          <w:sz w:val="18"/>
        </w:rPr>
      </w:pPr>
      <w:r w:rsidRPr="00520323">
        <w:rPr>
          <w:rFonts w:ascii="Calibri" w:hAnsi="Calibri"/>
          <w:sz w:val="18"/>
        </w:rPr>
        <w:t xml:space="preserve">Catalytic hydrogenation of organic functional groups like </w:t>
      </w:r>
      <w:r w:rsidRPr="00520323">
        <w:rPr>
          <w:rFonts w:ascii="Calibri" w:hAnsi="Calibri"/>
          <w:noProof/>
          <w:sz w:val="18"/>
        </w:rPr>
        <w:t>carbonyl</w:t>
      </w:r>
      <w:r w:rsidRPr="00520323">
        <w:rPr>
          <w:rFonts w:ascii="Calibri" w:hAnsi="Calibri"/>
          <w:sz w:val="18"/>
        </w:rPr>
        <w:t xml:space="preserve">, alkene, alkyne, </w:t>
      </w:r>
      <w:r w:rsidRPr="00520323">
        <w:rPr>
          <w:rFonts w:ascii="Calibri" w:hAnsi="Calibri"/>
          <w:noProof/>
          <w:sz w:val="18"/>
        </w:rPr>
        <w:t>imine</w:t>
      </w:r>
      <w:r w:rsidRPr="00520323">
        <w:rPr>
          <w:rFonts w:ascii="Calibri" w:hAnsi="Calibri"/>
          <w:sz w:val="18"/>
        </w:rPr>
        <w:t xml:space="preserve">, nitro, etc. </w:t>
      </w:r>
      <w:r w:rsidRPr="00520323">
        <w:rPr>
          <w:rFonts w:ascii="Calibri" w:hAnsi="Calibri"/>
          <w:noProof/>
          <w:sz w:val="18"/>
        </w:rPr>
        <w:t>is</w:t>
      </w:r>
      <w:r w:rsidRPr="00520323">
        <w:rPr>
          <w:rFonts w:ascii="Calibri" w:hAnsi="Calibri"/>
          <w:sz w:val="18"/>
        </w:rPr>
        <w:t xml:space="preserve"> vital in synthetic chemistry</w:t>
      </w:r>
      <w:r w:rsidRPr="00520323">
        <w:rPr>
          <w:rFonts w:ascii="Calibri" w:hAnsi="Calibri"/>
          <w:sz w:val="18"/>
          <w:vertAlign w:val="superscript"/>
        </w:rPr>
        <w:t>1</w:t>
      </w:r>
      <w:r w:rsidRPr="00520323">
        <w:rPr>
          <w:rFonts w:ascii="Calibri" w:hAnsi="Calibri"/>
          <w:sz w:val="18"/>
        </w:rPr>
        <w:t>. In this respect, the direct hydrogenation of heteroarenes is particularly challenging owing to their high stability and the ability of the heteroatoms to deactivate catalysts</w:t>
      </w:r>
      <w:r w:rsidRPr="00520323">
        <w:rPr>
          <w:rFonts w:ascii="Calibri" w:hAnsi="Calibri"/>
          <w:sz w:val="18"/>
          <w:vertAlign w:val="superscript"/>
        </w:rPr>
        <w:t>2</w:t>
      </w:r>
      <w:r w:rsidRPr="00520323">
        <w:rPr>
          <w:rFonts w:ascii="Calibri" w:hAnsi="Calibri"/>
          <w:sz w:val="18"/>
        </w:rPr>
        <w:t xml:space="preserve">. Nevertheless, hydrogenated heteroarenes </w:t>
      </w:r>
      <w:r w:rsidRPr="00520323">
        <w:rPr>
          <w:rFonts w:ascii="Calibri" w:hAnsi="Calibri"/>
          <w:noProof/>
          <w:sz w:val="18"/>
        </w:rPr>
        <w:t>form</w:t>
      </w:r>
      <w:r w:rsidRPr="00520323">
        <w:rPr>
          <w:rFonts w:ascii="Calibri" w:hAnsi="Calibri"/>
          <w:sz w:val="18"/>
        </w:rPr>
        <w:t xml:space="preserve"> an essential component in fine chemicals, agrochemicals, pharmaceuticals, etc. </w:t>
      </w:r>
    </w:p>
    <w:p w:rsidR="0085653E" w:rsidRPr="00520323" w:rsidRDefault="0085653E" w:rsidP="00520323">
      <w:pPr>
        <w:spacing w:after="0"/>
        <w:jc w:val="both"/>
        <w:rPr>
          <w:rFonts w:ascii="Calibri" w:hAnsi="Calibri"/>
          <w:sz w:val="18"/>
        </w:rPr>
      </w:pPr>
    </w:p>
    <w:p w:rsidR="00204D44" w:rsidRDefault="00204D44" w:rsidP="00204D44">
      <w:pPr>
        <w:spacing w:after="0"/>
        <w:jc w:val="both"/>
        <w:rPr>
          <w:rFonts w:ascii="Calibri" w:hAnsi="Calibri"/>
          <w:sz w:val="18"/>
          <w:vertAlign w:val="superscript"/>
        </w:rPr>
      </w:pPr>
      <w:r w:rsidRPr="00520323">
        <w:rPr>
          <w:rFonts w:ascii="Calibri" w:hAnsi="Calibri"/>
          <w:sz w:val="18"/>
        </w:rPr>
        <w:t xml:space="preserve">It is to be noted that quinolines form an important class of compound for accessing </w:t>
      </w:r>
      <w:r w:rsidRPr="00520323">
        <w:rPr>
          <w:rFonts w:ascii="Calibri" w:hAnsi="Calibri"/>
          <w:noProof/>
          <w:sz w:val="18"/>
        </w:rPr>
        <w:t>tetrahydroquinoline</w:t>
      </w:r>
      <w:r w:rsidRPr="00520323">
        <w:rPr>
          <w:rFonts w:ascii="Calibri" w:hAnsi="Calibri"/>
          <w:sz w:val="18"/>
        </w:rPr>
        <w:t xml:space="preserve"> products that are widely used in drug molecules</w:t>
      </w:r>
      <w:r w:rsidRPr="00520323">
        <w:rPr>
          <w:rFonts w:ascii="Calibri" w:hAnsi="Calibri"/>
          <w:sz w:val="18"/>
          <w:vertAlign w:val="superscript"/>
        </w:rPr>
        <w:t>3</w:t>
      </w:r>
      <w:r w:rsidRPr="00520323">
        <w:rPr>
          <w:rFonts w:ascii="Calibri" w:hAnsi="Calibri"/>
          <w:sz w:val="18"/>
        </w:rPr>
        <w:t xml:space="preserve">. Usage of an active </w:t>
      </w:r>
      <w:r w:rsidRPr="00520323">
        <w:rPr>
          <w:rFonts w:ascii="Calibri" w:hAnsi="Calibri"/>
          <w:noProof/>
          <w:sz w:val="18"/>
        </w:rPr>
        <w:t>nano-catalytic</w:t>
      </w:r>
      <w:r w:rsidRPr="00520323">
        <w:rPr>
          <w:rFonts w:ascii="Calibri" w:hAnsi="Calibri"/>
          <w:sz w:val="18"/>
        </w:rPr>
        <w:t xml:space="preserve"> system based on Rh on such </w:t>
      </w:r>
      <w:r w:rsidRPr="00520323">
        <w:rPr>
          <w:rFonts w:ascii="Calibri" w:hAnsi="Calibri"/>
          <w:noProof/>
          <w:sz w:val="18"/>
        </w:rPr>
        <w:t>reactions,</w:t>
      </w:r>
      <w:r w:rsidRPr="00520323">
        <w:rPr>
          <w:rFonts w:ascii="Calibri" w:hAnsi="Calibri"/>
          <w:sz w:val="18"/>
        </w:rPr>
        <w:t xml:space="preserve"> however, could be much more versatile in terms of low catalyst poisoning, recyclability, reusability and higher activity than the traditionally used homogeneous pre-catalysts based on Ru, Rh, </w:t>
      </w:r>
      <w:proofErr w:type="gramStart"/>
      <w:r w:rsidRPr="00520323">
        <w:rPr>
          <w:rFonts w:ascii="Calibri" w:hAnsi="Calibri"/>
          <w:sz w:val="18"/>
        </w:rPr>
        <w:t>Ir</w:t>
      </w:r>
      <w:proofErr w:type="gramEnd"/>
      <w:r w:rsidRPr="00520323">
        <w:rPr>
          <w:rFonts w:ascii="Calibri" w:hAnsi="Calibri"/>
          <w:sz w:val="18"/>
        </w:rPr>
        <w:t xml:space="preserve"> etc. </w:t>
      </w:r>
      <w:r w:rsidRPr="00520323">
        <w:rPr>
          <w:rFonts w:ascii="Calibri" w:hAnsi="Calibri"/>
          <w:sz w:val="18"/>
          <w:vertAlign w:val="superscript"/>
        </w:rPr>
        <w:t>4</w:t>
      </w:r>
    </w:p>
    <w:p w:rsidR="00520323" w:rsidRPr="00520323" w:rsidRDefault="00520323" w:rsidP="00204D44">
      <w:pPr>
        <w:spacing w:after="0"/>
        <w:jc w:val="both"/>
        <w:rPr>
          <w:rFonts w:ascii="Calibri" w:hAnsi="Calibri"/>
          <w:sz w:val="18"/>
          <w:vertAlign w:val="superscript"/>
        </w:rPr>
      </w:pPr>
    </w:p>
    <w:p w:rsidR="001D5AB5" w:rsidRPr="00520323" w:rsidRDefault="00652D60" w:rsidP="00204D44">
      <w:pPr>
        <w:spacing w:after="0"/>
        <w:jc w:val="both"/>
        <w:rPr>
          <w:rFonts w:ascii="Calibri" w:hAnsi="Calibri"/>
          <w:b/>
          <w:i/>
          <w:sz w:val="18"/>
        </w:rPr>
      </w:pPr>
      <w:r w:rsidRPr="00520323">
        <w:rPr>
          <w:rFonts w:ascii="Calibri" w:hAnsi="Calibri"/>
          <w:b/>
          <w:i/>
          <w:sz w:val="18"/>
        </w:rPr>
        <w:t>Experimental:</w:t>
      </w:r>
    </w:p>
    <w:p w:rsidR="001D5AB5" w:rsidRPr="00520323" w:rsidRDefault="00652D60" w:rsidP="00204D44">
      <w:pPr>
        <w:spacing w:after="0"/>
        <w:jc w:val="both"/>
        <w:rPr>
          <w:rFonts w:ascii="Calibri" w:hAnsi="Calibri"/>
          <w:sz w:val="18"/>
        </w:rPr>
      </w:pPr>
      <w:r w:rsidRPr="00520323">
        <w:rPr>
          <w:rFonts w:ascii="Calibri" w:hAnsi="Calibri"/>
          <w:sz w:val="18"/>
        </w:rPr>
        <w:t xml:space="preserve">Rhodium based nanoparticle system (monometallic and bimetallic variants) could be used to </w:t>
      </w:r>
      <w:r w:rsidRPr="00520323">
        <w:rPr>
          <w:rFonts w:ascii="Calibri" w:hAnsi="Calibri"/>
          <w:noProof/>
          <w:sz w:val="18"/>
        </w:rPr>
        <w:t>cataly</w:t>
      </w:r>
      <w:r w:rsidR="00E919AF" w:rsidRPr="00520323">
        <w:rPr>
          <w:rFonts w:ascii="Calibri" w:hAnsi="Calibri"/>
          <w:noProof/>
          <w:sz w:val="18"/>
        </w:rPr>
        <w:t>s</w:t>
      </w:r>
      <w:r w:rsidRPr="00520323">
        <w:rPr>
          <w:rFonts w:ascii="Calibri" w:hAnsi="Calibri"/>
          <w:noProof/>
          <w:sz w:val="18"/>
        </w:rPr>
        <w:t>e</w:t>
      </w:r>
      <w:r w:rsidRPr="00520323">
        <w:rPr>
          <w:rFonts w:ascii="Calibri" w:hAnsi="Calibri"/>
          <w:sz w:val="18"/>
        </w:rPr>
        <w:t xml:space="preserve"> the hydrogenation of quinolines, pyridines and benzofurans to access the corresponding heterocycles [See the schemes in</w:t>
      </w:r>
      <w:r w:rsidR="00E919AF" w:rsidRPr="00520323">
        <w:rPr>
          <w:rFonts w:ascii="Calibri" w:hAnsi="Calibri"/>
          <w:sz w:val="18"/>
        </w:rPr>
        <w:t xml:space="preserve"> the</w:t>
      </w:r>
      <w:r w:rsidRPr="00520323">
        <w:rPr>
          <w:rFonts w:ascii="Calibri" w:hAnsi="Calibri"/>
          <w:sz w:val="18"/>
        </w:rPr>
        <w:t xml:space="preserve"> </w:t>
      </w:r>
      <w:r w:rsidRPr="00520323">
        <w:rPr>
          <w:rFonts w:ascii="Calibri" w:hAnsi="Calibri"/>
          <w:noProof/>
          <w:sz w:val="18"/>
        </w:rPr>
        <w:t>figure</w:t>
      </w:r>
      <w:r w:rsidR="00520323">
        <w:rPr>
          <w:rFonts w:ascii="Calibri" w:hAnsi="Calibri"/>
          <w:noProof/>
          <w:sz w:val="18"/>
        </w:rPr>
        <w:t xml:space="preserve"> below</w:t>
      </w:r>
      <w:r w:rsidRPr="00520323">
        <w:rPr>
          <w:rFonts w:ascii="Calibri" w:hAnsi="Calibri"/>
          <w:sz w:val="18"/>
        </w:rPr>
        <w:t>]</w:t>
      </w:r>
      <w:r w:rsidR="00CE14E8" w:rsidRPr="00520323">
        <w:rPr>
          <w:rFonts w:ascii="Calibri" w:hAnsi="Calibri"/>
          <w:sz w:val="18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4"/>
        <w:gridCol w:w="4384"/>
      </w:tblGrid>
      <w:tr w:rsidR="00F81CB9" w:rsidTr="00CE14E8">
        <w:trPr>
          <w:trHeight w:val="1556"/>
        </w:trPr>
        <w:tc>
          <w:tcPr>
            <w:tcW w:w="5014" w:type="dxa"/>
            <w:vMerge w:val="restart"/>
            <w:tcBorders>
              <w:right w:val="single" w:sz="4" w:space="0" w:color="auto"/>
            </w:tcBorders>
          </w:tcPr>
          <w:p w:rsidR="001D5AB5" w:rsidRDefault="00F81CB9" w:rsidP="00F81CB9">
            <w:pPr>
              <w:tabs>
                <w:tab w:val="center" w:pos="2399"/>
              </w:tabs>
              <w:jc w:val="both"/>
              <w:rPr>
                <w:rFonts w:ascii="Calibri" w:hAnsi="Calibri"/>
              </w:rPr>
            </w:pPr>
            <w:r>
              <w:rPr>
                <w:rFonts w:ascii="Arial Narrow" w:hAnsi="Arial Narrow"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 wp14:anchorId="6ACECAD4" wp14:editId="1A4813AA">
                  <wp:simplePos x="0" y="0"/>
                  <wp:positionH relativeFrom="column">
                    <wp:posOffset>87398</wp:posOffset>
                  </wp:positionH>
                  <wp:positionV relativeFrom="paragraph">
                    <wp:posOffset>64135</wp:posOffset>
                  </wp:positionV>
                  <wp:extent cx="2790190" cy="2305050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97" b="3574"/>
                          <a:stretch/>
                        </pic:blipFill>
                        <pic:spPr bwMode="auto">
                          <a:xfrm>
                            <a:off x="0" y="0"/>
                            <a:ext cx="279019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</w:rPr>
              <w:tab/>
            </w:r>
          </w:p>
          <w:p w:rsidR="00F81CB9" w:rsidRDefault="00F81CB9" w:rsidP="001D5AB5">
            <w:pPr>
              <w:tabs>
                <w:tab w:val="center" w:pos="2399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(a)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1CB9" w:rsidRDefault="001D5AB5" w:rsidP="001D5AB5">
            <w:pPr>
              <w:jc w:val="center"/>
              <w:rPr>
                <w:rFonts w:ascii="Calibri" w:hAnsi="Calibri"/>
              </w:rPr>
            </w:pPr>
            <w:r>
              <w:object w:dxaOrig="6522" w:dyaOrig="14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208.4pt;height:50.2pt" o:ole="">
                  <v:imagedata r:id="rId6" o:title=""/>
                </v:shape>
                <o:OLEObject Type="Embed" ProgID="ChemDraw.Document.6.0" ShapeID="_x0000_i1026" DrawAspect="Content" ObjectID="_1563373048" r:id="rId7"/>
              </w:object>
            </w:r>
            <w:r w:rsidR="00F81CB9">
              <w:t>(b)</w:t>
            </w:r>
          </w:p>
        </w:tc>
      </w:tr>
      <w:tr w:rsidR="00F81CB9" w:rsidTr="00CE14E8">
        <w:trPr>
          <w:trHeight w:val="1262"/>
        </w:trPr>
        <w:tc>
          <w:tcPr>
            <w:tcW w:w="5014" w:type="dxa"/>
            <w:vMerge/>
            <w:tcBorders>
              <w:right w:val="single" w:sz="4" w:space="0" w:color="auto"/>
            </w:tcBorders>
          </w:tcPr>
          <w:p w:rsidR="00F81CB9" w:rsidRDefault="00F81CB9" w:rsidP="0044650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384" w:type="dxa"/>
            <w:tcBorders>
              <w:left w:val="single" w:sz="4" w:space="0" w:color="auto"/>
              <w:right w:val="single" w:sz="4" w:space="0" w:color="auto"/>
            </w:tcBorders>
          </w:tcPr>
          <w:p w:rsidR="00F81CB9" w:rsidRDefault="001D5AB5" w:rsidP="00B849DF">
            <w:pPr>
              <w:jc w:val="center"/>
              <w:rPr>
                <w:rFonts w:ascii="Calibri" w:hAnsi="Calibri"/>
              </w:rPr>
            </w:pPr>
            <w:r>
              <w:object w:dxaOrig="5733" w:dyaOrig="1478">
                <v:shape id="_x0000_i1025" type="#_x0000_t75" style="width:186.6pt;height:50.7pt" o:ole="">
                  <v:imagedata r:id="rId8" o:title=""/>
                </v:shape>
                <o:OLEObject Type="Embed" ProgID="ChemDraw.Document.6.0" ShapeID="_x0000_i1025" DrawAspect="Content" ObjectID="_1563373049" r:id="rId9"/>
              </w:object>
            </w:r>
          </w:p>
          <w:p w:rsidR="00F81CB9" w:rsidRPr="00F81CB9" w:rsidRDefault="00F81CB9" w:rsidP="00F81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(c)</w:t>
            </w:r>
          </w:p>
        </w:tc>
      </w:tr>
      <w:tr w:rsidR="00F81CB9" w:rsidTr="00CE14E8">
        <w:trPr>
          <w:trHeight w:val="923"/>
        </w:trPr>
        <w:tc>
          <w:tcPr>
            <w:tcW w:w="5014" w:type="dxa"/>
            <w:vMerge/>
            <w:tcBorders>
              <w:right w:val="single" w:sz="4" w:space="0" w:color="auto"/>
            </w:tcBorders>
          </w:tcPr>
          <w:p w:rsidR="00F81CB9" w:rsidRDefault="00F81CB9" w:rsidP="0044650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B5" w:rsidRDefault="001D5AB5" w:rsidP="001D5AB5">
            <w:pPr>
              <w:jc w:val="center"/>
            </w:pPr>
            <w:r>
              <w:object w:dxaOrig="4125" w:dyaOrig="1468">
                <v:shape id="_x0000_i1027" type="#_x0000_t75" style="width:136.4pt;height:51.7pt" o:ole="">
                  <v:imagedata r:id="rId10" o:title=""/>
                </v:shape>
                <o:OLEObject Type="Embed" ProgID="ChemDraw.Document.6.0" ShapeID="_x0000_i1027" DrawAspect="Content" ObjectID="_1563373050" r:id="rId11"/>
              </w:object>
            </w:r>
          </w:p>
          <w:p w:rsidR="00F81CB9" w:rsidRDefault="001D5AB5" w:rsidP="001D5AB5">
            <w:pPr>
              <w:jc w:val="center"/>
            </w:pPr>
            <w:r>
              <w:t>(d)</w:t>
            </w:r>
          </w:p>
        </w:tc>
      </w:tr>
    </w:tbl>
    <w:p w:rsidR="00CE14E8" w:rsidRPr="00520323" w:rsidRDefault="00CE14E8" w:rsidP="00CE14E8">
      <w:pPr>
        <w:pStyle w:val="Caption"/>
        <w:keepNext/>
        <w:rPr>
          <w:sz w:val="16"/>
        </w:rPr>
      </w:pPr>
      <w:r w:rsidRPr="00520323">
        <w:rPr>
          <w:b/>
          <w:i w:val="0"/>
          <w:sz w:val="16"/>
        </w:rPr>
        <w:t>Figure</w:t>
      </w:r>
      <w:r w:rsidRPr="00520323">
        <w:rPr>
          <w:b/>
          <w:i w:val="0"/>
          <w:sz w:val="16"/>
        </w:rPr>
        <w:t xml:space="preserve"> </w:t>
      </w:r>
      <w:r w:rsidRPr="00520323">
        <w:rPr>
          <w:b/>
          <w:i w:val="0"/>
          <w:sz w:val="16"/>
        </w:rPr>
        <w:fldChar w:fldCharType="begin"/>
      </w:r>
      <w:r w:rsidRPr="00520323">
        <w:rPr>
          <w:b/>
          <w:i w:val="0"/>
          <w:sz w:val="16"/>
        </w:rPr>
        <w:instrText xml:space="preserve"> SEQ Table \* ARABIC </w:instrText>
      </w:r>
      <w:r w:rsidRPr="00520323">
        <w:rPr>
          <w:b/>
          <w:i w:val="0"/>
          <w:sz w:val="16"/>
        </w:rPr>
        <w:fldChar w:fldCharType="separate"/>
      </w:r>
      <w:r w:rsidRPr="00520323">
        <w:rPr>
          <w:b/>
          <w:i w:val="0"/>
          <w:noProof/>
          <w:sz w:val="16"/>
        </w:rPr>
        <w:t>1</w:t>
      </w:r>
      <w:r w:rsidRPr="00520323">
        <w:rPr>
          <w:b/>
          <w:i w:val="0"/>
          <w:sz w:val="16"/>
        </w:rPr>
        <w:fldChar w:fldCharType="end"/>
      </w:r>
      <w:r w:rsidRPr="00520323">
        <w:rPr>
          <w:sz w:val="16"/>
        </w:rPr>
        <w:t>(a) HR-TEM image of Rh NPs</w:t>
      </w:r>
      <w:r w:rsidRPr="00520323">
        <w:rPr>
          <w:sz w:val="16"/>
          <w:vertAlign w:val="superscript"/>
        </w:rPr>
        <w:t>5</w:t>
      </w:r>
      <w:r w:rsidRPr="00520323">
        <w:rPr>
          <w:sz w:val="16"/>
        </w:rPr>
        <w:t xml:space="preserve">; (b) </w:t>
      </w:r>
      <w:r w:rsidR="00E919AF" w:rsidRPr="00520323">
        <w:rPr>
          <w:sz w:val="16"/>
        </w:rPr>
        <w:t>s</w:t>
      </w:r>
      <w:r w:rsidRPr="00520323">
        <w:rPr>
          <w:sz w:val="16"/>
        </w:rPr>
        <w:t>cheme for hydrogenation of quinolines; (c)</w:t>
      </w:r>
      <w:r w:rsidR="00E919AF" w:rsidRPr="00520323">
        <w:rPr>
          <w:sz w:val="16"/>
        </w:rPr>
        <w:t xml:space="preserve"> s</w:t>
      </w:r>
      <w:r w:rsidRPr="00520323">
        <w:rPr>
          <w:sz w:val="16"/>
        </w:rPr>
        <w:t>cheme for hyd</w:t>
      </w:r>
      <w:r w:rsidR="00E919AF" w:rsidRPr="00520323">
        <w:rPr>
          <w:sz w:val="16"/>
        </w:rPr>
        <w:t>rogenation of benzofurans; (d) s</w:t>
      </w:r>
      <w:r w:rsidRPr="00520323">
        <w:rPr>
          <w:sz w:val="16"/>
        </w:rPr>
        <w:t>cheme for hydrogenation of pyridines.</w:t>
      </w:r>
    </w:p>
    <w:p w:rsidR="00F81CB9" w:rsidRPr="00520323" w:rsidRDefault="00E919AF" w:rsidP="00520323">
      <w:pPr>
        <w:jc w:val="both"/>
        <w:rPr>
          <w:rFonts w:ascii="Calibri" w:hAnsi="Calibri"/>
          <w:sz w:val="18"/>
        </w:rPr>
      </w:pPr>
      <w:r w:rsidRPr="00520323">
        <w:rPr>
          <w:rFonts w:ascii="Calibri" w:hAnsi="Calibri"/>
          <w:sz w:val="18"/>
        </w:rPr>
        <w:t xml:space="preserve">An autoclave with a glass vessel would be used to conduct the hydrogenation reactions. The vessel would be then charged with the stock solution of Rh-based NPs in solvent and substrate prior to </w:t>
      </w:r>
      <w:r w:rsidRPr="00520323">
        <w:rPr>
          <w:rFonts w:ascii="Calibri" w:hAnsi="Calibri"/>
          <w:noProof/>
          <w:sz w:val="18"/>
        </w:rPr>
        <w:t>being</w:t>
      </w:r>
      <w:r w:rsidRPr="00520323">
        <w:rPr>
          <w:rFonts w:ascii="Calibri" w:hAnsi="Calibri"/>
          <w:sz w:val="18"/>
        </w:rPr>
        <w:t xml:space="preserve"> pressurized with hydrogen gas to the desired pressure. The sealed autoclave would be then heated to the desired temperature</w:t>
      </w:r>
      <w:r w:rsidR="00520323">
        <w:rPr>
          <w:rFonts w:ascii="Calibri" w:hAnsi="Calibri"/>
          <w:sz w:val="18"/>
        </w:rPr>
        <w:t xml:space="preserve"> and kept for the desired period of time</w:t>
      </w:r>
      <w:r w:rsidRPr="00520323">
        <w:rPr>
          <w:rFonts w:ascii="Calibri" w:hAnsi="Calibri"/>
          <w:sz w:val="18"/>
        </w:rPr>
        <w:t xml:space="preserve">. </w:t>
      </w:r>
    </w:p>
    <w:p w:rsidR="0085653E" w:rsidRDefault="00E919AF" w:rsidP="00446506">
      <w:pPr>
        <w:jc w:val="both"/>
        <w:rPr>
          <w:rFonts w:ascii="Calibri" w:hAnsi="Calibri"/>
          <w:sz w:val="18"/>
        </w:rPr>
      </w:pPr>
      <w:r w:rsidRPr="00520323">
        <w:rPr>
          <w:rFonts w:ascii="Calibri" w:hAnsi="Calibri"/>
          <w:b/>
          <w:i/>
          <w:sz w:val="18"/>
        </w:rPr>
        <w:t xml:space="preserve">Student </w:t>
      </w:r>
      <w:r w:rsidRPr="00520323">
        <w:rPr>
          <w:rFonts w:ascii="Calibri" w:hAnsi="Calibri"/>
          <w:b/>
          <w:i/>
          <w:noProof/>
          <w:sz w:val="18"/>
        </w:rPr>
        <w:t>objective</w:t>
      </w:r>
      <w:r w:rsidRPr="00520323">
        <w:rPr>
          <w:rFonts w:ascii="Calibri" w:hAnsi="Calibri"/>
          <w:b/>
          <w:i/>
          <w:sz w:val="18"/>
        </w:rPr>
        <w:t>:</w:t>
      </w:r>
      <w:r w:rsidR="00204D44" w:rsidRPr="00520323">
        <w:rPr>
          <w:rFonts w:ascii="Calibri" w:hAnsi="Calibri"/>
          <w:sz w:val="18"/>
        </w:rPr>
        <w:t xml:space="preserve"> </w:t>
      </w:r>
    </w:p>
    <w:p w:rsidR="00E919AF" w:rsidRPr="00520323" w:rsidRDefault="00E919AF" w:rsidP="00446506">
      <w:pPr>
        <w:jc w:val="both"/>
        <w:rPr>
          <w:rFonts w:ascii="Calibri" w:hAnsi="Calibri"/>
          <w:sz w:val="18"/>
        </w:rPr>
      </w:pPr>
      <w:r w:rsidRPr="00520323">
        <w:rPr>
          <w:rFonts w:ascii="Calibri" w:hAnsi="Calibri"/>
          <w:sz w:val="18"/>
        </w:rPr>
        <w:t>To optimize the reaction conditions such as pressure, temperature, catalyst loading</w:t>
      </w:r>
      <w:r w:rsidR="00204D44" w:rsidRPr="00520323">
        <w:rPr>
          <w:rFonts w:ascii="Calibri" w:hAnsi="Calibri"/>
          <w:sz w:val="18"/>
        </w:rPr>
        <w:t>, and solvent selection</w:t>
      </w:r>
      <w:r w:rsidRPr="00520323">
        <w:rPr>
          <w:rFonts w:ascii="Calibri" w:hAnsi="Calibri"/>
          <w:sz w:val="18"/>
        </w:rPr>
        <w:t xml:space="preserve">; analysis of the products through </w:t>
      </w:r>
      <w:r w:rsidRPr="00520323">
        <w:rPr>
          <w:rFonts w:ascii="Calibri" w:hAnsi="Calibri"/>
          <w:noProof/>
          <w:sz w:val="18"/>
        </w:rPr>
        <w:t>GC-FID-MS</w:t>
      </w:r>
      <w:r w:rsidR="00204D44" w:rsidRPr="00520323">
        <w:rPr>
          <w:rFonts w:ascii="Calibri" w:hAnsi="Calibri"/>
          <w:noProof/>
          <w:sz w:val="18"/>
        </w:rPr>
        <w:t>;</w:t>
      </w:r>
      <w:r w:rsidRPr="00520323">
        <w:rPr>
          <w:rFonts w:ascii="Calibri" w:hAnsi="Calibri"/>
          <w:sz w:val="18"/>
        </w:rPr>
        <w:t xml:space="preserve"> purification of the products by column c</w:t>
      </w:r>
      <w:r w:rsidR="00520323">
        <w:rPr>
          <w:rFonts w:ascii="Calibri" w:hAnsi="Calibri"/>
          <w:sz w:val="18"/>
        </w:rPr>
        <w:t xml:space="preserve">hromatography; </w:t>
      </w:r>
      <w:r w:rsidRPr="00520323">
        <w:rPr>
          <w:rFonts w:ascii="Calibri" w:hAnsi="Calibri"/>
          <w:sz w:val="18"/>
        </w:rPr>
        <w:t>NMR and Mass</w:t>
      </w:r>
      <w:r w:rsidR="00204D44" w:rsidRPr="00520323">
        <w:rPr>
          <w:rFonts w:ascii="Calibri" w:hAnsi="Calibri"/>
          <w:sz w:val="18"/>
        </w:rPr>
        <w:t xml:space="preserve"> spectroscopic</w:t>
      </w:r>
      <w:r w:rsidRPr="00520323">
        <w:rPr>
          <w:rFonts w:ascii="Calibri" w:hAnsi="Calibri"/>
          <w:sz w:val="18"/>
        </w:rPr>
        <w:t xml:space="preserve"> analysis of purified products</w:t>
      </w:r>
      <w:r w:rsidR="00520323">
        <w:rPr>
          <w:rFonts w:ascii="Calibri" w:hAnsi="Calibri"/>
          <w:sz w:val="18"/>
        </w:rPr>
        <w:t xml:space="preserve">; report submission and presentation. </w:t>
      </w:r>
    </w:p>
    <w:p w:rsidR="00204D44" w:rsidRPr="00563CDE" w:rsidRDefault="00204D44" w:rsidP="00446506">
      <w:pPr>
        <w:jc w:val="both"/>
        <w:rPr>
          <w:rFonts w:ascii="Calibri" w:hAnsi="Calibri"/>
          <w:b/>
          <w:sz w:val="18"/>
          <w:szCs w:val="16"/>
        </w:rPr>
      </w:pPr>
      <w:r w:rsidRPr="00563CDE">
        <w:rPr>
          <w:rFonts w:ascii="Calibri" w:hAnsi="Calibri"/>
          <w:b/>
          <w:sz w:val="18"/>
          <w:szCs w:val="16"/>
        </w:rPr>
        <w:t>References:</w:t>
      </w:r>
    </w:p>
    <w:p w:rsidR="00520323" w:rsidRPr="00563CDE" w:rsidRDefault="00204D44" w:rsidP="00520323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12"/>
        </w:rPr>
      </w:pPr>
      <w:r w:rsidRPr="00563CDE">
        <w:rPr>
          <w:rFonts w:ascii="Calibri" w:hAnsi="Calibri"/>
          <w:sz w:val="18"/>
          <w:szCs w:val="16"/>
        </w:rPr>
        <w:t>P.</w:t>
      </w:r>
      <w:r w:rsidR="00520323" w:rsidRPr="00563CDE">
        <w:rPr>
          <w:rFonts w:ascii="Calibri" w:hAnsi="Calibri"/>
          <w:sz w:val="18"/>
          <w:szCs w:val="16"/>
        </w:rPr>
        <w:t xml:space="preserve"> </w:t>
      </w:r>
      <w:r w:rsidRPr="00563CDE">
        <w:rPr>
          <w:rFonts w:ascii="Calibri" w:hAnsi="Calibri"/>
          <w:sz w:val="18"/>
          <w:szCs w:val="16"/>
        </w:rPr>
        <w:t xml:space="preserve">N. Rylander, </w:t>
      </w:r>
      <w:r w:rsidR="00520323" w:rsidRPr="00563CDE">
        <w:rPr>
          <w:rFonts w:ascii="Calibri" w:hAnsi="Calibri"/>
          <w:i/>
          <w:noProof/>
          <w:sz w:val="18"/>
          <w:szCs w:val="16"/>
        </w:rPr>
        <w:t>C</w:t>
      </w:r>
      <w:r w:rsidRPr="00563CDE">
        <w:rPr>
          <w:rFonts w:ascii="Calibri" w:hAnsi="Calibri"/>
          <w:i/>
          <w:noProof/>
          <w:sz w:val="18"/>
          <w:szCs w:val="16"/>
        </w:rPr>
        <w:t>atalytic</w:t>
      </w:r>
      <w:r w:rsidRPr="00563CDE">
        <w:rPr>
          <w:rFonts w:ascii="Calibri" w:hAnsi="Calibri"/>
          <w:i/>
          <w:sz w:val="18"/>
          <w:szCs w:val="16"/>
        </w:rPr>
        <w:t xml:space="preserve"> Hydrogenation in Organic Syntheses</w:t>
      </w:r>
      <w:r w:rsidR="00520323" w:rsidRPr="00563CDE">
        <w:rPr>
          <w:rFonts w:ascii="Calibri" w:hAnsi="Calibri"/>
          <w:sz w:val="18"/>
          <w:szCs w:val="16"/>
        </w:rPr>
        <w:t>; Academic Press:</w:t>
      </w:r>
      <w:r w:rsidR="00520323" w:rsidRPr="00563CDE">
        <w:rPr>
          <w:rFonts w:ascii="Calibri" w:hAnsi="Calibri"/>
          <w:b/>
          <w:sz w:val="18"/>
          <w:szCs w:val="16"/>
        </w:rPr>
        <w:t xml:space="preserve"> 1979</w:t>
      </w:r>
    </w:p>
    <w:p w:rsidR="00520323" w:rsidRPr="00563CDE" w:rsidRDefault="00520323" w:rsidP="00520323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12"/>
        </w:rPr>
      </w:pPr>
      <w:r w:rsidRPr="00563CDE">
        <w:rPr>
          <w:rFonts w:ascii="Calibri" w:hAnsi="Calibri"/>
          <w:sz w:val="18"/>
          <w:szCs w:val="16"/>
        </w:rPr>
        <w:t xml:space="preserve">D. Wang, Q. Chen, S. Lu, Y. Zhou, </w:t>
      </w:r>
      <w:r w:rsidRPr="00563CDE">
        <w:rPr>
          <w:rFonts w:ascii="Calibri" w:hAnsi="Calibri"/>
          <w:i/>
          <w:sz w:val="18"/>
          <w:szCs w:val="16"/>
        </w:rPr>
        <w:t>Chem. Rev</w:t>
      </w:r>
      <w:r w:rsidRPr="00563CDE">
        <w:rPr>
          <w:rFonts w:ascii="Calibri" w:hAnsi="Calibri"/>
          <w:sz w:val="18"/>
          <w:szCs w:val="16"/>
        </w:rPr>
        <w:t xml:space="preserve">. </w:t>
      </w:r>
      <w:r w:rsidRPr="00563CDE">
        <w:rPr>
          <w:rFonts w:ascii="Calibri" w:hAnsi="Calibri"/>
          <w:b/>
          <w:sz w:val="18"/>
          <w:szCs w:val="16"/>
        </w:rPr>
        <w:t>2012</w:t>
      </w:r>
      <w:r w:rsidRPr="00563CDE">
        <w:rPr>
          <w:rFonts w:ascii="Calibri" w:hAnsi="Calibri"/>
          <w:sz w:val="18"/>
          <w:szCs w:val="16"/>
        </w:rPr>
        <w:t>, 112, 2557.</w:t>
      </w:r>
    </w:p>
    <w:p w:rsidR="00520323" w:rsidRPr="00563CDE" w:rsidRDefault="00520323" w:rsidP="00520323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12"/>
        </w:rPr>
      </w:pPr>
      <w:r w:rsidRPr="00563CDE">
        <w:rPr>
          <w:rFonts w:ascii="Calibri" w:hAnsi="Calibri"/>
          <w:sz w:val="18"/>
          <w:szCs w:val="16"/>
        </w:rPr>
        <w:t xml:space="preserve">J. D. </w:t>
      </w:r>
      <w:proofErr w:type="spellStart"/>
      <w:r w:rsidRPr="00563CDE">
        <w:rPr>
          <w:rFonts w:ascii="Calibri" w:hAnsi="Calibri"/>
          <w:sz w:val="18"/>
          <w:szCs w:val="16"/>
        </w:rPr>
        <w:t>Keay</w:t>
      </w:r>
      <w:proofErr w:type="spellEnd"/>
      <w:r w:rsidRPr="00563CDE">
        <w:rPr>
          <w:rFonts w:ascii="Calibri" w:hAnsi="Calibri"/>
          <w:sz w:val="18"/>
          <w:szCs w:val="16"/>
        </w:rPr>
        <w:t xml:space="preserve">, </w:t>
      </w:r>
      <w:r w:rsidRPr="00563CDE">
        <w:rPr>
          <w:rFonts w:ascii="Calibri" w:hAnsi="Calibri"/>
          <w:i/>
          <w:sz w:val="18"/>
          <w:szCs w:val="16"/>
        </w:rPr>
        <w:t>In Comprehensive Organic Synthesis</w:t>
      </w:r>
      <w:r w:rsidRPr="00563CDE">
        <w:rPr>
          <w:rFonts w:ascii="Calibri" w:hAnsi="Calibri"/>
          <w:sz w:val="18"/>
          <w:szCs w:val="16"/>
        </w:rPr>
        <w:t xml:space="preserve">; B.M. </w:t>
      </w:r>
      <w:proofErr w:type="spellStart"/>
      <w:r w:rsidRPr="00563CDE">
        <w:rPr>
          <w:rFonts w:ascii="Calibri" w:hAnsi="Calibri"/>
          <w:sz w:val="18"/>
          <w:szCs w:val="16"/>
        </w:rPr>
        <w:t>Trost</w:t>
      </w:r>
      <w:proofErr w:type="spellEnd"/>
      <w:r w:rsidRPr="00563CDE">
        <w:rPr>
          <w:rFonts w:ascii="Calibri" w:hAnsi="Calibri"/>
          <w:sz w:val="18"/>
          <w:szCs w:val="16"/>
        </w:rPr>
        <w:t xml:space="preserve">, I. Fleming, </w:t>
      </w:r>
      <w:proofErr w:type="spellStart"/>
      <w:r w:rsidRPr="00563CDE">
        <w:rPr>
          <w:rFonts w:ascii="Calibri" w:hAnsi="Calibri"/>
          <w:sz w:val="18"/>
          <w:szCs w:val="16"/>
        </w:rPr>
        <w:t>Eds</w:t>
      </w:r>
      <w:proofErr w:type="spellEnd"/>
      <w:r w:rsidRPr="00563CDE">
        <w:rPr>
          <w:rFonts w:ascii="Calibri" w:hAnsi="Calibri"/>
          <w:sz w:val="18"/>
          <w:szCs w:val="16"/>
        </w:rPr>
        <w:t xml:space="preserve">; </w:t>
      </w:r>
      <w:proofErr w:type="spellStart"/>
      <w:r w:rsidRPr="00563CDE">
        <w:rPr>
          <w:rFonts w:ascii="Calibri" w:hAnsi="Calibri"/>
          <w:sz w:val="18"/>
          <w:szCs w:val="16"/>
        </w:rPr>
        <w:t>Pergamon</w:t>
      </w:r>
      <w:proofErr w:type="spellEnd"/>
      <w:r w:rsidRPr="00563CDE">
        <w:rPr>
          <w:rFonts w:ascii="Calibri" w:hAnsi="Calibri"/>
          <w:sz w:val="18"/>
          <w:szCs w:val="16"/>
        </w:rPr>
        <w:t xml:space="preserve">: Oxford, </w:t>
      </w:r>
      <w:r w:rsidRPr="00563CDE">
        <w:rPr>
          <w:rFonts w:ascii="Calibri" w:hAnsi="Calibri"/>
          <w:b/>
          <w:sz w:val="18"/>
          <w:szCs w:val="16"/>
        </w:rPr>
        <w:t>1991</w:t>
      </w:r>
      <w:r w:rsidRPr="00563CDE">
        <w:rPr>
          <w:rFonts w:ascii="Calibri" w:hAnsi="Calibri"/>
          <w:sz w:val="18"/>
          <w:szCs w:val="16"/>
        </w:rPr>
        <w:t>; Vol. 8, pp 579-601.</w:t>
      </w:r>
    </w:p>
    <w:p w:rsidR="0085653E" w:rsidRPr="00563CDE" w:rsidRDefault="0085653E" w:rsidP="00520323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12"/>
        </w:rPr>
      </w:pPr>
      <w:r w:rsidRPr="00563CDE">
        <w:rPr>
          <w:rFonts w:ascii="Calibri" w:hAnsi="Calibri"/>
          <w:sz w:val="18"/>
          <w:szCs w:val="16"/>
        </w:rPr>
        <w:t xml:space="preserve">G. E. </w:t>
      </w:r>
      <w:proofErr w:type="spellStart"/>
      <w:r w:rsidRPr="00563CDE">
        <w:rPr>
          <w:rFonts w:ascii="Calibri" w:hAnsi="Calibri"/>
          <w:sz w:val="18"/>
          <w:szCs w:val="16"/>
        </w:rPr>
        <w:t>Dobereiner</w:t>
      </w:r>
      <w:proofErr w:type="spellEnd"/>
      <w:r w:rsidRPr="00563CDE">
        <w:rPr>
          <w:rFonts w:ascii="Calibri" w:hAnsi="Calibri"/>
          <w:sz w:val="18"/>
          <w:szCs w:val="16"/>
        </w:rPr>
        <w:t xml:space="preserve">, A. Nova, N. D. Schley, N. </w:t>
      </w:r>
      <w:proofErr w:type="spellStart"/>
      <w:r w:rsidRPr="00563CDE">
        <w:rPr>
          <w:rFonts w:ascii="Calibri" w:hAnsi="Calibri"/>
          <w:sz w:val="18"/>
          <w:szCs w:val="16"/>
        </w:rPr>
        <w:t>Hazari</w:t>
      </w:r>
      <w:proofErr w:type="spellEnd"/>
      <w:r w:rsidRPr="00563CDE">
        <w:rPr>
          <w:rFonts w:ascii="Calibri" w:hAnsi="Calibri"/>
          <w:sz w:val="18"/>
          <w:szCs w:val="16"/>
        </w:rPr>
        <w:t xml:space="preserve">, S. J. Miller, O. Eisenstein, R. H. Crabtree, </w:t>
      </w:r>
      <w:r w:rsidRPr="00563CDE">
        <w:rPr>
          <w:rFonts w:ascii="Calibri" w:hAnsi="Calibri"/>
          <w:i/>
          <w:sz w:val="18"/>
          <w:szCs w:val="16"/>
        </w:rPr>
        <w:t xml:space="preserve">J. Am. </w:t>
      </w:r>
      <w:proofErr w:type="spellStart"/>
      <w:r w:rsidRPr="00563CDE">
        <w:rPr>
          <w:rFonts w:ascii="Calibri" w:hAnsi="Calibri"/>
          <w:i/>
          <w:sz w:val="18"/>
          <w:szCs w:val="16"/>
        </w:rPr>
        <w:t>Chem</w:t>
      </w:r>
      <w:proofErr w:type="spellEnd"/>
      <w:r w:rsidRPr="00563CDE">
        <w:rPr>
          <w:rFonts w:ascii="Calibri" w:hAnsi="Calibri"/>
          <w:i/>
          <w:sz w:val="18"/>
          <w:szCs w:val="16"/>
        </w:rPr>
        <w:t xml:space="preserve"> Soc</w:t>
      </w:r>
      <w:r w:rsidRPr="00563CDE">
        <w:rPr>
          <w:rFonts w:ascii="Calibri" w:hAnsi="Calibri"/>
          <w:sz w:val="18"/>
          <w:szCs w:val="16"/>
        </w:rPr>
        <w:t xml:space="preserve">. </w:t>
      </w:r>
      <w:r w:rsidRPr="00563CDE">
        <w:rPr>
          <w:rFonts w:ascii="Calibri" w:hAnsi="Calibri"/>
          <w:b/>
          <w:sz w:val="18"/>
          <w:szCs w:val="16"/>
        </w:rPr>
        <w:t>2011</w:t>
      </w:r>
      <w:r w:rsidRPr="00563CDE">
        <w:rPr>
          <w:rFonts w:ascii="Calibri" w:hAnsi="Calibri"/>
          <w:sz w:val="18"/>
          <w:szCs w:val="16"/>
        </w:rPr>
        <w:t>, 133, 7547.</w:t>
      </w:r>
      <w:r w:rsidR="00520323" w:rsidRPr="00563CDE">
        <w:rPr>
          <w:rFonts w:ascii="Calibri" w:hAnsi="Calibri"/>
          <w:sz w:val="18"/>
          <w:szCs w:val="16"/>
        </w:rPr>
        <w:t xml:space="preserve"> </w:t>
      </w:r>
    </w:p>
    <w:p w:rsidR="00520323" w:rsidRPr="00563CDE" w:rsidRDefault="0085653E" w:rsidP="00520323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12"/>
          <w:lang w:val="fr-CH"/>
        </w:rPr>
      </w:pPr>
      <w:r w:rsidRPr="00563CDE">
        <w:rPr>
          <w:rFonts w:ascii="Calibri" w:hAnsi="Calibri"/>
          <w:sz w:val="18"/>
          <w:szCs w:val="16"/>
          <w:lang w:val="fr-CH"/>
        </w:rPr>
        <w:t xml:space="preserve">A. </w:t>
      </w:r>
      <w:proofErr w:type="spellStart"/>
      <w:r w:rsidRPr="00563CDE">
        <w:rPr>
          <w:rFonts w:ascii="Calibri" w:hAnsi="Calibri"/>
          <w:sz w:val="18"/>
          <w:szCs w:val="16"/>
          <w:lang w:val="fr-CH"/>
        </w:rPr>
        <w:t>Karakulina</w:t>
      </w:r>
      <w:proofErr w:type="spellEnd"/>
      <w:r w:rsidRPr="00563CDE">
        <w:rPr>
          <w:rFonts w:ascii="Calibri" w:hAnsi="Calibri"/>
          <w:sz w:val="18"/>
          <w:szCs w:val="16"/>
          <w:lang w:val="fr-CH"/>
        </w:rPr>
        <w:t xml:space="preserve">, A. </w:t>
      </w:r>
      <w:proofErr w:type="spellStart"/>
      <w:r w:rsidRPr="00563CDE">
        <w:rPr>
          <w:rFonts w:ascii="Calibri" w:hAnsi="Calibri"/>
          <w:sz w:val="18"/>
          <w:szCs w:val="16"/>
          <w:lang w:val="fr-CH"/>
        </w:rPr>
        <w:t>Gopakumar</w:t>
      </w:r>
      <w:proofErr w:type="spellEnd"/>
      <w:r w:rsidRPr="00563CDE">
        <w:rPr>
          <w:rFonts w:ascii="Calibri" w:hAnsi="Calibri"/>
          <w:sz w:val="18"/>
          <w:szCs w:val="16"/>
          <w:lang w:val="fr-CH"/>
        </w:rPr>
        <w:t xml:space="preserve">, I. </w:t>
      </w:r>
      <w:proofErr w:type="spellStart"/>
      <w:r w:rsidRPr="00563CDE">
        <w:rPr>
          <w:rFonts w:ascii="Calibri" w:hAnsi="Calibri"/>
          <w:sz w:val="18"/>
          <w:szCs w:val="16"/>
          <w:lang w:val="fr-CH"/>
        </w:rPr>
        <w:t>Akçok</w:t>
      </w:r>
      <w:proofErr w:type="spellEnd"/>
      <w:r w:rsidRPr="00563CDE">
        <w:rPr>
          <w:rFonts w:ascii="Calibri" w:hAnsi="Calibri"/>
          <w:sz w:val="18"/>
          <w:szCs w:val="16"/>
          <w:lang w:val="fr-CH"/>
        </w:rPr>
        <w:t xml:space="preserve">, B. L. Roulier, T. La Grange, S. A. </w:t>
      </w:r>
      <w:proofErr w:type="spellStart"/>
      <w:r w:rsidRPr="00563CDE">
        <w:rPr>
          <w:rFonts w:ascii="Calibri" w:hAnsi="Calibri"/>
          <w:sz w:val="18"/>
          <w:szCs w:val="16"/>
          <w:lang w:val="fr-CH"/>
        </w:rPr>
        <w:t>Katsyuba</w:t>
      </w:r>
      <w:proofErr w:type="spellEnd"/>
      <w:r w:rsidRPr="00563CDE">
        <w:rPr>
          <w:rFonts w:ascii="Calibri" w:hAnsi="Calibri"/>
          <w:sz w:val="18"/>
          <w:szCs w:val="16"/>
          <w:lang w:val="fr-CH"/>
        </w:rPr>
        <w:t xml:space="preserve">, S. </w:t>
      </w:r>
      <w:proofErr w:type="spellStart"/>
      <w:r w:rsidRPr="00563CDE">
        <w:rPr>
          <w:rFonts w:ascii="Calibri" w:hAnsi="Calibri"/>
          <w:sz w:val="18"/>
          <w:szCs w:val="16"/>
          <w:lang w:val="fr-CH"/>
        </w:rPr>
        <w:t>Das</w:t>
      </w:r>
      <w:proofErr w:type="spellEnd"/>
      <w:r w:rsidRPr="00563CDE">
        <w:rPr>
          <w:rFonts w:ascii="Calibri" w:hAnsi="Calibri"/>
          <w:sz w:val="18"/>
          <w:szCs w:val="16"/>
          <w:lang w:val="fr-CH"/>
        </w:rPr>
        <w:t xml:space="preserve">, P. J. Dyson, </w:t>
      </w:r>
      <w:proofErr w:type="spellStart"/>
      <w:r w:rsidRPr="00563CDE">
        <w:rPr>
          <w:rFonts w:ascii="Calibri" w:hAnsi="Calibri"/>
          <w:i/>
          <w:sz w:val="18"/>
          <w:szCs w:val="16"/>
          <w:lang w:val="fr-CH"/>
        </w:rPr>
        <w:t>Angew</w:t>
      </w:r>
      <w:proofErr w:type="spellEnd"/>
      <w:r w:rsidRPr="00563CDE">
        <w:rPr>
          <w:rFonts w:ascii="Calibri" w:hAnsi="Calibri"/>
          <w:i/>
          <w:sz w:val="18"/>
          <w:szCs w:val="16"/>
          <w:lang w:val="fr-CH"/>
        </w:rPr>
        <w:t xml:space="preserve">. </w:t>
      </w:r>
      <w:proofErr w:type="spellStart"/>
      <w:r w:rsidRPr="00563CDE">
        <w:rPr>
          <w:rFonts w:ascii="Calibri" w:hAnsi="Calibri"/>
          <w:i/>
          <w:sz w:val="18"/>
          <w:szCs w:val="16"/>
          <w:lang w:val="fr-CH"/>
        </w:rPr>
        <w:t>Chem</w:t>
      </w:r>
      <w:proofErr w:type="spellEnd"/>
      <w:r w:rsidRPr="00563CDE">
        <w:rPr>
          <w:rFonts w:ascii="Calibri" w:hAnsi="Calibri"/>
          <w:i/>
          <w:sz w:val="18"/>
          <w:szCs w:val="16"/>
          <w:lang w:val="fr-CH"/>
        </w:rPr>
        <w:t>. Int. Ed</w:t>
      </w:r>
      <w:r w:rsidRPr="00563CDE">
        <w:rPr>
          <w:rFonts w:ascii="Calibri" w:hAnsi="Calibri"/>
          <w:sz w:val="18"/>
          <w:szCs w:val="16"/>
          <w:lang w:val="fr-CH"/>
        </w:rPr>
        <w:t xml:space="preserve">. </w:t>
      </w:r>
      <w:r w:rsidRPr="00563CDE">
        <w:rPr>
          <w:rFonts w:ascii="Calibri" w:hAnsi="Calibri"/>
          <w:b/>
          <w:sz w:val="18"/>
          <w:szCs w:val="16"/>
          <w:lang w:val="fr-CH"/>
        </w:rPr>
        <w:t>2016</w:t>
      </w:r>
      <w:r w:rsidRPr="00563CDE">
        <w:rPr>
          <w:rFonts w:ascii="Calibri" w:hAnsi="Calibri"/>
          <w:sz w:val="18"/>
          <w:szCs w:val="16"/>
          <w:lang w:val="fr-CH"/>
        </w:rPr>
        <w:t>, 55, 292-296</w:t>
      </w:r>
      <w:r w:rsidR="00520323" w:rsidRPr="00563CDE">
        <w:rPr>
          <w:rFonts w:ascii="Calibri" w:hAnsi="Calibri"/>
          <w:sz w:val="18"/>
          <w:szCs w:val="16"/>
          <w:lang w:val="fr-CH"/>
        </w:rPr>
        <w:tab/>
      </w:r>
      <w:bookmarkStart w:id="0" w:name="_GoBack"/>
      <w:bookmarkEnd w:id="0"/>
    </w:p>
    <w:sectPr w:rsidR="00520323" w:rsidRPr="00563CD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3131E"/>
    <w:multiLevelType w:val="hybridMultilevel"/>
    <w:tmpl w:val="ACDAD09E"/>
    <w:lvl w:ilvl="0" w:tplc="AE9E86AA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2MjMzNDcwMzWysDRQ0lEKTi0uzszPAykwrAUArcBIxSwAAAA="/>
  </w:docVars>
  <w:rsids>
    <w:rsidRoot w:val="00D1142B"/>
    <w:rsid w:val="001B2DF4"/>
    <w:rsid w:val="001D5AB5"/>
    <w:rsid w:val="00204D44"/>
    <w:rsid w:val="00446506"/>
    <w:rsid w:val="00520323"/>
    <w:rsid w:val="00563CDE"/>
    <w:rsid w:val="00652D60"/>
    <w:rsid w:val="007206A7"/>
    <w:rsid w:val="0085653E"/>
    <w:rsid w:val="00AD528E"/>
    <w:rsid w:val="00B849DF"/>
    <w:rsid w:val="00CE14E8"/>
    <w:rsid w:val="00D1142B"/>
    <w:rsid w:val="00E919AF"/>
    <w:rsid w:val="00F8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D32A53-0E22-485F-9B07-6D325D11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E14E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204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EPFL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 Dyson-Ash</dc:creator>
  <cp:keywords/>
  <dc:description/>
  <cp:lastModifiedBy>Group Dyson-Ash</cp:lastModifiedBy>
  <cp:revision>3</cp:revision>
  <dcterms:created xsi:type="dcterms:W3CDTF">2017-08-04T13:23:00Z</dcterms:created>
  <dcterms:modified xsi:type="dcterms:W3CDTF">2017-08-04T15:28:00Z</dcterms:modified>
</cp:coreProperties>
</file>